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57" w:rsidRPr="00A26AF9" w:rsidRDefault="009B0157" w:rsidP="00DA68A3">
      <w:pPr>
        <w:jc w:val="center"/>
        <w:rPr>
          <w:b/>
          <w:iCs/>
        </w:rPr>
      </w:pPr>
      <w:bookmarkStart w:id="0" w:name="_GoBack"/>
      <w:r w:rsidRPr="00A26AF9">
        <w:rPr>
          <w:b/>
          <w:iCs/>
        </w:rPr>
        <w:t>Vzorec pro výpočet ceny tepelné energie a vzorec pro náhradní způsob vyhodnocení dodávky/odběru tepelné energie</w:t>
      </w:r>
    </w:p>
    <w:bookmarkEnd w:id="0"/>
    <w:p w:rsidR="009B0157" w:rsidRPr="00A26AF9" w:rsidRDefault="009B0157" w:rsidP="00DA68A3">
      <w:pPr>
        <w:rPr>
          <w:b/>
          <w:iCs/>
        </w:rPr>
      </w:pPr>
    </w:p>
    <w:p w:rsidR="009B0157" w:rsidRPr="00A26AF9" w:rsidRDefault="009B0157" w:rsidP="00DA68A3">
      <w:pPr>
        <w:numPr>
          <w:ilvl w:val="0"/>
          <w:numId w:val="1"/>
        </w:numPr>
        <w:ind w:left="284" w:hanging="284"/>
        <w:rPr>
          <w:b/>
        </w:rPr>
      </w:pPr>
      <w:r w:rsidRPr="00A26AF9">
        <w:rPr>
          <w:b/>
        </w:rPr>
        <w:t>Vzorec pro výpočet ceny tepelné energie</w:t>
      </w:r>
    </w:p>
    <w:p w:rsidR="009B0157" w:rsidRPr="00A26AF9" w:rsidRDefault="009B0157" w:rsidP="00DA68A3">
      <w:r w:rsidRPr="00A26AF9">
        <w:t>Cena tepelné energie, jak ji definuje čl. V</w:t>
      </w:r>
      <w:r w:rsidR="007C0221" w:rsidRPr="00A26AF9">
        <w:t>I</w:t>
      </w:r>
      <w:r w:rsidR="00951B3F" w:rsidRPr="00A26AF9">
        <w:t>.</w:t>
      </w:r>
      <w:r w:rsidRPr="00A26AF9">
        <w:t> odst. 2</w:t>
      </w:r>
      <w:r w:rsidR="00951B3F" w:rsidRPr="00A26AF9">
        <w:t>.</w:t>
      </w:r>
      <w:r w:rsidRPr="00A26AF9">
        <w:t xml:space="preserve"> smlouvy, bude stanovena dle následujícího vzorce:</w:t>
      </w:r>
    </w:p>
    <w:p w:rsidR="004213CF" w:rsidRPr="00A26AF9" w:rsidRDefault="004213CF" w:rsidP="0036571F"/>
    <w:p w:rsidR="004213CF" w:rsidRPr="00A26AF9" w:rsidRDefault="004213CF" w:rsidP="0036571F"/>
    <w:p w:rsidR="004213CF" w:rsidRPr="00A26AF9" w:rsidRDefault="00DA68A3" w:rsidP="00DB6E50">
      <w:pPr>
        <w:spacing w:line="360" w:lineRule="auto"/>
        <w:rPr>
          <w:rFonts w:ascii="Cambria Math" w:hAnsi="Cambria Math"/>
          <w:b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S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 . 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zp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η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.Q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</m:oMath>
      </m:oMathPara>
    </w:p>
    <w:p w:rsidR="00084CAD" w:rsidRPr="00A26AF9" w:rsidRDefault="00084CAD" w:rsidP="009B0157">
      <w:pPr>
        <w:spacing w:line="240" w:lineRule="auto"/>
      </w:pPr>
    </w:p>
    <w:p w:rsidR="009B0157" w:rsidRPr="00A26AF9" w:rsidRDefault="009B0157" w:rsidP="009B0157">
      <w:pPr>
        <w:spacing w:line="240" w:lineRule="auto"/>
      </w:pPr>
      <w:r w:rsidRPr="00A26AF9">
        <w:t>Kde:</w:t>
      </w:r>
    </w:p>
    <w:p w:rsidR="009B0157" w:rsidRPr="00A26AF9" w:rsidRDefault="00DA68A3" w:rsidP="00DA68A3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KJ</m:t>
            </m:r>
          </m:sub>
        </m:sSub>
      </m:oMath>
      <w:r w:rsidR="009B0157" w:rsidRPr="00A26AF9">
        <w:rPr>
          <w:rFonts w:eastAsia="Calibri"/>
          <w:b/>
          <w:szCs w:val="22"/>
        </w:rPr>
        <w:tab/>
      </w:r>
      <w:r w:rsidR="009B0157" w:rsidRPr="00A26AF9">
        <w:t>je jednotková cena tepelné energie z KGJ odebírané od dodavatele v Kč/GJ bez DPH.</w:t>
      </w:r>
    </w:p>
    <w:p w:rsidR="009B0157" w:rsidRPr="00A26AF9" w:rsidRDefault="00DA68A3" w:rsidP="00DA68A3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zp </m:t>
            </m:r>
          </m:sub>
        </m:sSub>
      </m:oMath>
      <w:r w:rsidR="009B0157" w:rsidRPr="00A26AF9">
        <w:rPr>
          <w:rFonts w:eastAsia="Calibri"/>
          <w:szCs w:val="22"/>
        </w:rPr>
        <w:tab/>
      </w:r>
      <w:r w:rsidR="009B0157" w:rsidRPr="00A26AF9">
        <w:t>je jednotková cena zemního plynu v Kč/</w:t>
      </w:r>
      <w:r w:rsidR="00B70DAB" w:rsidRPr="00A26AF9">
        <w:t>N</w:t>
      </w:r>
      <w:r w:rsidR="004213CF" w:rsidRPr="00A26AF9">
        <w:t>m</w:t>
      </w:r>
      <w:r w:rsidR="004213CF" w:rsidRPr="00A26AF9">
        <w:rPr>
          <w:vertAlign w:val="superscript"/>
        </w:rPr>
        <w:t>3</w:t>
      </w:r>
      <w:r w:rsidR="004213CF" w:rsidRPr="00A26AF9">
        <w:t xml:space="preserve"> </w:t>
      </w:r>
      <w:r w:rsidR="009B0157" w:rsidRPr="00A26AF9">
        <w:t>bez DPH, která je pro daný kalendářní rok zasmluvněn</w:t>
      </w:r>
      <w:r w:rsidR="00951B3F" w:rsidRPr="00A26AF9">
        <w:t>a</w:t>
      </w:r>
      <w:r w:rsidR="009B0157" w:rsidRPr="00A26AF9">
        <w:t xml:space="preserve"> odběratelem s jeho dodavatelem zemního plynu</w:t>
      </w:r>
      <w:r w:rsidR="004213CF" w:rsidRPr="00A26AF9">
        <w:t xml:space="preserve"> (za fakturačních podmínek včetně veškerých poplatků souvisejících s cenou zemního plynu)</w:t>
      </w:r>
      <w:r w:rsidR="009B0157" w:rsidRPr="00A26AF9">
        <w:t>. Tato uvažovaná cena zemního plynu je včetně daně ze zemního plynu, tedy rovna ceně nahrazeného paliva pro kotle.</w:t>
      </w:r>
    </w:p>
    <w:p w:rsidR="009B0157" w:rsidRPr="00A26AF9" w:rsidRDefault="00A26AF9" w:rsidP="00DA68A3">
      <w:pPr>
        <w:spacing w:before="120" w:line="240" w:lineRule="auto"/>
        <w:ind w:left="2127" w:hanging="2127"/>
        <w:jc w:val="both"/>
        <w:rPr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η </m:t>
        </m:r>
      </m:oMath>
      <w:r w:rsidR="009B0157" w:rsidRPr="00A26AF9">
        <w:rPr>
          <w:b/>
          <w:sz w:val="28"/>
          <w:szCs w:val="28"/>
        </w:rPr>
        <w:tab/>
      </w:r>
      <w:r w:rsidR="009B0157" w:rsidRPr="00A26AF9">
        <w:t>účinnost výroby tepelné energie ve stávající</w:t>
      </w:r>
      <w:r w:rsidR="00015F4C" w:rsidRPr="00A26AF9">
        <w:t>m</w:t>
      </w:r>
      <w:r w:rsidR="009B0157" w:rsidRPr="00A26AF9">
        <w:t xml:space="preserve"> </w:t>
      </w:r>
      <w:r w:rsidR="00015F4C" w:rsidRPr="00A26AF9">
        <w:t>zdroji</w:t>
      </w:r>
      <w:r w:rsidR="00B70DAB" w:rsidRPr="00A26AF9">
        <w:t xml:space="preserve"> stanovená jako konstanta platná po celou dobu trvání smlouvy</w:t>
      </w:r>
      <w:r w:rsidR="009B0157" w:rsidRPr="00A26AF9">
        <w:t xml:space="preserve">; </w:t>
      </w:r>
      <w:r w:rsidR="009B0157" w:rsidRPr="00A26AF9">
        <w:rPr>
          <w:sz w:val="24"/>
          <w:szCs w:val="24"/>
        </w:rPr>
        <w:sym w:font="Symbol" w:char="F068"/>
      </w:r>
      <w:r w:rsidR="009B0157" w:rsidRPr="00A26AF9">
        <w:rPr>
          <w:sz w:val="24"/>
          <w:szCs w:val="24"/>
          <w:vertAlign w:val="subscript"/>
        </w:rPr>
        <w:t>kotle</w:t>
      </w:r>
      <w:r w:rsidR="009B0157" w:rsidRPr="00A26AF9">
        <w:rPr>
          <w:sz w:val="24"/>
          <w:szCs w:val="24"/>
        </w:rPr>
        <w:t xml:space="preserve"> = 0,</w:t>
      </w:r>
      <w:r w:rsidRPr="00A26AF9">
        <w:rPr>
          <w:sz w:val="24"/>
          <w:szCs w:val="24"/>
        </w:rPr>
        <w:t>92</w:t>
      </w:r>
    </w:p>
    <w:p w:rsidR="00015F4C" w:rsidRPr="00A26AF9" w:rsidRDefault="00DA68A3" w:rsidP="00DA68A3">
      <w:pPr>
        <w:spacing w:before="120" w:line="276" w:lineRule="auto"/>
        <w:jc w:val="both"/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015F4C" w:rsidRPr="00A26AF9">
        <w:rPr>
          <w:rFonts w:cstheme="minorHAnsi"/>
        </w:rPr>
        <w:tab/>
      </w:r>
      <w:r w:rsidR="00015F4C" w:rsidRPr="00A26AF9">
        <w:rPr>
          <w:rFonts w:cstheme="minorHAnsi"/>
        </w:rPr>
        <w:tab/>
      </w:r>
      <w:r w:rsidR="00015F4C" w:rsidRPr="00A26AF9">
        <w:rPr>
          <w:rFonts w:cstheme="minorHAnsi"/>
        </w:rPr>
        <w:tab/>
      </w:r>
      <w:r w:rsidR="00015F4C" w:rsidRPr="00A26AF9">
        <w:t>výhřevnost plynu (</w:t>
      </w:r>
      <w:r w:rsidR="00084CAD" w:rsidRPr="00A26AF9">
        <w:rPr>
          <w:rFonts w:eastAsia="Calibri"/>
        </w:rPr>
        <w:t xml:space="preserve">0,0347 </w:t>
      </w:r>
      <w:r w:rsidR="00015F4C" w:rsidRPr="00A26AF9">
        <w:t>GJ/m</w:t>
      </w:r>
      <w:r w:rsidR="00015F4C" w:rsidRPr="00A26AF9">
        <w:rPr>
          <w:vertAlign w:val="superscript"/>
        </w:rPr>
        <w:t>3</w:t>
      </w:r>
      <w:r w:rsidR="00015F4C" w:rsidRPr="00A26AF9">
        <w:t>) – hodnota dle faktury</w:t>
      </w:r>
    </w:p>
    <w:p w:rsidR="009B0157" w:rsidRPr="00A26AF9" w:rsidRDefault="00DA68A3" w:rsidP="00DA68A3">
      <w:pPr>
        <w:spacing w:before="120" w:line="240" w:lineRule="auto"/>
        <w:ind w:left="2124" w:hanging="2124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Cs w:val="22"/>
                <w:vertAlign w:val="subscript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2"/>
                <w:vertAlign w:val="subscript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2"/>
                <w:vertAlign w:val="subscript"/>
              </w:rPr>
              <m:t>S</m:t>
            </m:r>
          </m:sub>
        </m:sSub>
      </m:oMath>
      <w:r w:rsidR="009B0157" w:rsidRPr="00A26AF9">
        <w:rPr>
          <w:rFonts w:eastAsia="Calibri"/>
          <w:i/>
          <w:szCs w:val="22"/>
          <w:vertAlign w:val="subscript"/>
        </w:rPr>
        <w:tab/>
      </w:r>
      <w:r w:rsidR="009B0157" w:rsidRPr="00A26AF9">
        <w:t>koeficient úspory udává slevu z ceny tepelné energie dodávané dodavatelem</w:t>
      </w:r>
      <w:r w:rsidR="00B70DAB" w:rsidRPr="00A26AF9">
        <w:t>, jejíž</w:t>
      </w:r>
      <w:r w:rsidR="009B0157" w:rsidRPr="00A26AF9">
        <w:t xml:space="preserve"> výše je odvozena od objemu odebrané tepelné energie za kalendářní rok. Po skončení kalendářního roku bude provedeno vyhodnocení celkového odebraného objemu tepelné energie za uplynulý kalendářní rok a vyúčtování skutečné ceny tepelné energie s ohledem na K</w:t>
      </w:r>
      <w:r w:rsidR="00A26AF9">
        <w:rPr>
          <w:vertAlign w:val="subscript"/>
        </w:rPr>
        <w:t>S</w:t>
      </w:r>
      <w:r w:rsidR="009B0157" w:rsidRPr="00A26AF9">
        <w:rPr>
          <w:vertAlign w:val="subscript"/>
        </w:rPr>
        <w:t xml:space="preserve"> </w:t>
      </w:r>
      <w:r w:rsidR="009B0157" w:rsidRPr="00A26AF9">
        <w:t>podle následující tabulky.</w:t>
      </w:r>
    </w:p>
    <w:p w:rsidR="009B0157" w:rsidRPr="00A26AF9" w:rsidRDefault="009B0157" w:rsidP="009B0157">
      <w:pPr>
        <w:spacing w:before="120" w:line="240" w:lineRule="auto"/>
        <w:ind w:left="1410" w:hanging="1410"/>
      </w:pPr>
    </w:p>
    <w:p w:rsidR="00083E0E" w:rsidRPr="00A26AF9" w:rsidRDefault="00083E0E" w:rsidP="009B0157">
      <w:pPr>
        <w:spacing w:before="120" w:line="240" w:lineRule="auto"/>
        <w:ind w:left="1410" w:hanging="1410"/>
      </w:pPr>
    </w:p>
    <w:p w:rsidR="009B0157" w:rsidRPr="00A26AF9" w:rsidRDefault="009B0157" w:rsidP="009B0157">
      <w:pPr>
        <w:outlineLvl w:val="0"/>
        <w:rPr>
          <w:b/>
          <w:u w:val="single"/>
        </w:rPr>
      </w:pPr>
      <w:r w:rsidRPr="00A26AF9">
        <w:rPr>
          <w:b/>
          <w:u w:val="single"/>
        </w:rPr>
        <w:t>Výchozí podmínky pro stanovení měsíčních plateb za tepelnou energii</w:t>
      </w:r>
      <w:r w:rsidR="00B70DAB" w:rsidRPr="00A26AF9">
        <w:rPr>
          <w:b/>
          <w:u w:val="single"/>
        </w:rPr>
        <w:t xml:space="preserve"> v prvním roce provozu</w:t>
      </w:r>
    </w:p>
    <w:p w:rsidR="009B0157" w:rsidRPr="00A26AF9" w:rsidRDefault="009B0157" w:rsidP="00DA68A3">
      <w:pPr>
        <w:spacing w:before="120"/>
        <w:jc w:val="both"/>
      </w:pPr>
      <w:r w:rsidRPr="00A26AF9">
        <w:t>Na základě čl. V</w:t>
      </w:r>
      <w:r w:rsidR="006C6461" w:rsidRPr="00A26AF9">
        <w:t>I</w:t>
      </w:r>
      <w:r w:rsidRPr="00A26AF9">
        <w:t>. odst. 3</w:t>
      </w:r>
      <w:r w:rsidR="00951B3F" w:rsidRPr="00A26AF9">
        <w:t>.</w:t>
      </w:r>
      <w:r w:rsidRPr="00A26AF9">
        <w:t xml:space="preserve"> smlouvy se dodavatel s odběratelem dohodli na níže uvedené</w:t>
      </w:r>
      <w:r w:rsidRPr="00A26AF9">
        <w:br/>
      </w:r>
      <w:r w:rsidRPr="00A26AF9">
        <w:rPr>
          <w:b/>
        </w:rPr>
        <w:t xml:space="preserve">předpokládané průměrné ceně zemního plynu </w:t>
      </w:r>
      <w:r w:rsidRPr="00A26AF9">
        <w:t xml:space="preserve">pro příslušný kalendářní rok: </w:t>
      </w:r>
    </w:p>
    <w:p w:rsidR="009B0157" w:rsidRPr="00A26AF9" w:rsidRDefault="009B0157" w:rsidP="009B0157">
      <w:pPr>
        <w:spacing w:before="120"/>
      </w:pPr>
    </w:p>
    <w:p w:rsidR="009B0157" w:rsidRPr="00A26AF9" w:rsidRDefault="00DA68A3" w:rsidP="009B0157">
      <w:pPr>
        <w:spacing w:line="360" w:lineRule="auto"/>
        <w:rPr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ZP</m:t>
            </m:r>
          </m:sub>
        </m:sSub>
        <m:r>
          <m:rPr>
            <m:sty m:val="bi"/>
          </m:rPr>
          <w:rPr>
            <w:rFonts w:ascii="Cambria Math" w:hAnsi="Cambria Math"/>
            <w:sz w:val="28"/>
            <w:szCs w:val="28"/>
          </w:rPr>
          <m:t>=XXX,X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Kč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MWh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=XXX,X 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Kč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9B0157" w:rsidRPr="00A26AF9">
        <w:rPr>
          <w:b/>
          <w:sz w:val="28"/>
          <w:szCs w:val="28"/>
        </w:rPr>
        <w:t xml:space="preserve">   </w:t>
      </w:r>
    </w:p>
    <w:p w:rsidR="009B0157" w:rsidRPr="00A26AF9" w:rsidRDefault="009B0157" w:rsidP="009B0157">
      <w:pPr>
        <w:spacing w:line="360" w:lineRule="auto"/>
        <w:rPr>
          <w:b/>
          <w:color w:val="4F81BD" w:themeColor="accent1"/>
          <w:sz w:val="28"/>
          <w:szCs w:val="28"/>
        </w:rPr>
      </w:pPr>
      <w:r w:rsidRPr="00A26AF9">
        <w:rPr>
          <w:b/>
          <w:color w:val="4F81BD" w:themeColor="accent1"/>
          <w:sz w:val="28"/>
          <w:szCs w:val="28"/>
        </w:rPr>
        <w:t xml:space="preserve"> </w:t>
      </w:r>
    </w:p>
    <w:p w:rsidR="009B0157" w:rsidRPr="00A26AF9" w:rsidRDefault="009B0157" w:rsidP="00DA68A3">
      <w:pPr>
        <w:jc w:val="both"/>
      </w:pPr>
      <w:r w:rsidRPr="00A26AF9">
        <w:t xml:space="preserve">Výše uvedená předpokládaná cena zemního plynu je použita pro výpočet </w:t>
      </w:r>
      <w:r w:rsidRPr="00A26AF9">
        <w:rPr>
          <w:b/>
        </w:rPr>
        <w:t>předpokládané ceny tepelné energie</w:t>
      </w:r>
      <w:r w:rsidRPr="00A26AF9">
        <w:t xml:space="preserve"> dodávané odběrateli dodavatelem z kogenerační jednotky:</w:t>
      </w:r>
    </w:p>
    <w:p w:rsidR="009B0157" w:rsidRPr="00A26AF9" w:rsidRDefault="009B0157" w:rsidP="009B0157">
      <w:pPr>
        <w:ind w:left="708" w:firstLine="708"/>
      </w:pPr>
    </w:p>
    <w:p w:rsidR="009B0157" w:rsidRPr="00A26AF9" w:rsidRDefault="00DA68A3" w:rsidP="009B0157">
      <w:pPr>
        <w:spacing w:line="240" w:lineRule="auto"/>
        <w:ind w:firstLine="709"/>
        <w:outlineLvl w:val="0"/>
        <w:rPr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teplo KGJ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XX,X*X,XX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X,XXXX* X,XX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=XXX,X Kč/GJ</m:t>
          </m:r>
        </m:oMath>
      </m:oMathPara>
    </w:p>
    <w:p w:rsidR="009B0157" w:rsidRPr="00A26AF9" w:rsidRDefault="009B0157" w:rsidP="009B0157">
      <w:pPr>
        <w:ind w:left="708" w:firstLine="708"/>
        <w:outlineLvl w:val="0"/>
        <w:rPr>
          <w:b/>
        </w:rPr>
      </w:pPr>
    </w:p>
    <w:p w:rsidR="009B0157" w:rsidRPr="00A26AF9" w:rsidRDefault="009B0157" w:rsidP="00DA68A3">
      <w:pPr>
        <w:jc w:val="both"/>
      </w:pPr>
      <w:r w:rsidRPr="00A26AF9">
        <w:t>Dle čl. V</w:t>
      </w:r>
      <w:r w:rsidR="007C0221" w:rsidRPr="00A26AF9">
        <w:t>I.</w:t>
      </w:r>
      <w:r w:rsidRPr="00A26AF9">
        <w:t> odst. 3</w:t>
      </w:r>
      <w:r w:rsidR="007C0221" w:rsidRPr="00A26AF9">
        <w:t>.</w:t>
      </w:r>
      <w:r w:rsidRPr="00A26AF9">
        <w:t xml:space="preserve"> smlouvy je na konci každého kalendářního roku vyhodnocena skutečná cena zemního plynu a vypočtena skutečná cena tepelné energie, na </w:t>
      </w:r>
      <w:r w:rsidR="007C0221" w:rsidRPr="00A26AF9">
        <w:t xml:space="preserve">jejímž </w:t>
      </w:r>
      <w:r w:rsidRPr="00A26AF9">
        <w:t>základě dojde mezi odběratelem a dodavatelem k fakturaci nedoplatku či přeplatku za odebranou tepelnou energii.</w:t>
      </w:r>
    </w:p>
    <w:p w:rsidR="009B0157" w:rsidRPr="00A26AF9" w:rsidRDefault="009B0157" w:rsidP="00DA68A3">
      <w:pPr>
        <w:spacing w:before="120"/>
        <w:jc w:val="both"/>
      </w:pPr>
      <w:r w:rsidRPr="00A26AF9">
        <w:t xml:space="preserve">Pozn.: Obdobně je učiněno pro stanovení měsíčních plateb za zemní plyn, který je přenecháván za výše dohodnutou cenu odběratelem dodavateli. </w:t>
      </w:r>
    </w:p>
    <w:p w:rsidR="009B0157" w:rsidRPr="00A26AF9" w:rsidRDefault="009B0157" w:rsidP="00DA68A3">
      <w:pPr>
        <w:jc w:val="both"/>
      </w:pPr>
    </w:p>
    <w:p w:rsidR="009B0157" w:rsidRPr="00A26AF9" w:rsidRDefault="009B0157" w:rsidP="00DA68A3">
      <w:pPr>
        <w:jc w:val="both"/>
      </w:pPr>
    </w:p>
    <w:p w:rsidR="009B0157" w:rsidRPr="00A26AF9" w:rsidRDefault="009B0157" w:rsidP="00DA68A3">
      <w:pPr>
        <w:numPr>
          <w:ilvl w:val="0"/>
          <w:numId w:val="1"/>
        </w:numPr>
        <w:ind w:left="284" w:hanging="284"/>
        <w:jc w:val="both"/>
        <w:rPr>
          <w:b/>
        </w:rPr>
      </w:pPr>
      <w:r w:rsidRPr="00A26AF9">
        <w:rPr>
          <w:b/>
        </w:rPr>
        <w:t xml:space="preserve">Vzorec pro náhradní způsob vyhodnocení dodaného/odebraného množství tepelné energie </w:t>
      </w:r>
    </w:p>
    <w:p w:rsidR="009B0157" w:rsidRPr="00A26AF9" w:rsidRDefault="009B0157" w:rsidP="00DA68A3">
      <w:pPr>
        <w:jc w:val="both"/>
      </w:pPr>
      <w:r w:rsidRPr="00A26AF9">
        <w:t>Množství dodané tepelné energie bude stanoveno odečtem měřicího zařízení způsobem blíže popsaným v čl. V</w:t>
      </w:r>
      <w:r w:rsidR="00BA51ED" w:rsidRPr="00A26AF9">
        <w:t>.</w:t>
      </w:r>
      <w:r w:rsidRPr="00A26AF9">
        <w:t xml:space="preserve"> smlouvy. V případě poruchy měřicího zařízení nebo v případě jiné okolnosti, která neumožní pro fakturaci využít údaj měřicího zařízení, bude pro vyčíslení dodaného množství tepelné energie využito následujícího vzorce:</w:t>
      </w:r>
    </w:p>
    <w:p w:rsidR="009B0157" w:rsidRPr="00A26AF9" w:rsidRDefault="009B0157" w:rsidP="009B0157"/>
    <w:p w:rsidR="009B0157" w:rsidRPr="00A26AF9" w:rsidRDefault="00DA68A3" w:rsidP="009B0157">
      <w:pPr>
        <w:spacing w:line="240" w:lineRule="auto"/>
        <w:rPr>
          <w:b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teplo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ZP_KGJ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η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KGJ 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* </m:t>
          </m:r>
          <m:sSub>
            <m:sSub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1  </m:t>
              </m:r>
            </m:sub>
          </m:sSub>
        </m:oMath>
      </m:oMathPara>
    </w:p>
    <w:p w:rsidR="009B0157" w:rsidRPr="00A26AF9" w:rsidRDefault="009B0157" w:rsidP="009B0157">
      <w:pPr>
        <w:jc w:val="both"/>
      </w:pPr>
    </w:p>
    <w:p w:rsidR="009B0157" w:rsidRPr="00A26AF9" w:rsidRDefault="009B0157" w:rsidP="00DA68A3">
      <w:pPr>
        <w:spacing w:line="240" w:lineRule="auto"/>
        <w:jc w:val="both"/>
      </w:pPr>
      <w:r w:rsidRPr="00A26AF9">
        <w:t>Kde:</w:t>
      </w:r>
    </w:p>
    <w:p w:rsidR="009B0157" w:rsidRPr="00A26AF9" w:rsidRDefault="00DA68A3" w:rsidP="00DA68A3">
      <w:pPr>
        <w:spacing w:before="120" w:line="240" w:lineRule="auto"/>
        <w:ind w:left="1410" w:hanging="1410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teplo</m:t>
            </m:r>
          </m:sub>
        </m:sSub>
      </m:oMath>
      <w:r w:rsidR="009B0157" w:rsidRPr="00A26AF9">
        <w:rPr>
          <w:rFonts w:eastAsia="Calibri"/>
          <w:b/>
          <w:szCs w:val="22"/>
        </w:rPr>
        <w:tab/>
      </w:r>
      <w:r w:rsidR="009B0157" w:rsidRPr="00A26AF9">
        <w:t>je množství tepelné energie z </w:t>
      </w:r>
      <w:r w:rsidR="004D390B" w:rsidRPr="00A26AF9">
        <w:t>KGJ</w:t>
      </w:r>
      <w:r w:rsidR="009B0157" w:rsidRPr="00A26AF9">
        <w:t xml:space="preserve"> nakupované odběratelem od dodavatele</w:t>
      </w:r>
    </w:p>
    <w:p w:rsidR="009B0157" w:rsidRPr="00A26AF9" w:rsidRDefault="00DA68A3" w:rsidP="00DA68A3">
      <w:pPr>
        <w:spacing w:before="120" w:line="240" w:lineRule="auto"/>
        <w:jc w:val="both"/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ZP_KGJ</m:t>
            </m:r>
          </m:sub>
        </m:sSub>
      </m:oMath>
      <w:r w:rsidR="009B0157" w:rsidRPr="00A26AF9">
        <w:rPr>
          <w:rFonts w:eastAsia="Calibri"/>
          <w:szCs w:val="22"/>
        </w:rPr>
        <w:tab/>
      </w:r>
      <w:r w:rsidR="009B0157" w:rsidRPr="00A26AF9">
        <w:t xml:space="preserve">naměřená hodnota podružného plynoměru </w:t>
      </w:r>
      <w:r w:rsidR="004D390B" w:rsidRPr="00A26AF9">
        <w:t>pro KGJ</w:t>
      </w:r>
      <w:r w:rsidR="009B0157" w:rsidRPr="00A26AF9">
        <w:t xml:space="preserve"> v Nm</w:t>
      </w:r>
      <w:r w:rsidR="009B0157" w:rsidRPr="00A26AF9">
        <w:rPr>
          <w:vertAlign w:val="superscript"/>
        </w:rPr>
        <w:t>3</w:t>
      </w:r>
    </w:p>
    <w:p w:rsidR="009B0157" w:rsidRPr="00A26AF9" w:rsidRDefault="00DA68A3" w:rsidP="00DA68A3">
      <w:pPr>
        <w:spacing w:before="120" w:line="240" w:lineRule="auto"/>
        <w:ind w:left="1412" w:hanging="1412"/>
        <w:jc w:val="both"/>
        <w:rPr>
          <w:i/>
          <w:szCs w:val="22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  <w:vertAlign w:val="subscript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KGJ</m:t>
            </m:r>
          </m:sub>
        </m:sSub>
      </m:oMath>
      <w:r w:rsidR="009B0157" w:rsidRPr="00A26AF9">
        <w:rPr>
          <w:b/>
          <w:szCs w:val="22"/>
          <w:vertAlign w:val="subscript"/>
        </w:rPr>
        <w:tab/>
      </w:r>
      <w:r w:rsidR="009B0157" w:rsidRPr="00A26AF9">
        <w:rPr>
          <w:b/>
          <w:szCs w:val="22"/>
          <w:vertAlign w:val="subscript"/>
        </w:rPr>
        <w:tab/>
      </w:r>
      <w:r w:rsidR="009B0157" w:rsidRPr="00A26AF9">
        <w:rPr>
          <w:szCs w:val="22"/>
        </w:rPr>
        <w:t>účinnost výroby tepelné energie v </w:t>
      </w:r>
      <w:r w:rsidR="004D390B" w:rsidRPr="00A26AF9">
        <w:rPr>
          <w:szCs w:val="22"/>
        </w:rPr>
        <w:t>KGJ</w:t>
      </w:r>
      <w:r w:rsidR="009B0157" w:rsidRPr="00A26AF9">
        <w:rPr>
          <w:szCs w:val="22"/>
        </w:rPr>
        <w:t>, která je garantov</w:t>
      </w:r>
      <w:r w:rsidR="00BA51ED" w:rsidRPr="00A26AF9">
        <w:rPr>
          <w:szCs w:val="22"/>
        </w:rPr>
        <w:t>á</w:t>
      </w:r>
      <w:r w:rsidR="009B0157" w:rsidRPr="00A26AF9">
        <w:rPr>
          <w:szCs w:val="22"/>
        </w:rPr>
        <w:t>n</w:t>
      </w:r>
      <w:r w:rsidR="00BA51ED" w:rsidRPr="00A26AF9">
        <w:rPr>
          <w:szCs w:val="22"/>
        </w:rPr>
        <w:t>a</w:t>
      </w:r>
      <w:r w:rsidR="004D390B" w:rsidRPr="00A26AF9">
        <w:rPr>
          <w:szCs w:val="22"/>
        </w:rPr>
        <w:t xml:space="preserve"> </w:t>
      </w:r>
      <w:r w:rsidR="009B0157" w:rsidRPr="00A26AF9">
        <w:rPr>
          <w:szCs w:val="22"/>
        </w:rPr>
        <w:t xml:space="preserve">výrobcem KGJ; tepelná účinnost KGJ = </w:t>
      </w:r>
      <w:r w:rsidR="002560EC" w:rsidRPr="00A26AF9">
        <w:rPr>
          <w:szCs w:val="22"/>
        </w:rPr>
        <w:t>XX</w:t>
      </w:r>
      <w:r w:rsidR="009B0157" w:rsidRPr="00A26AF9">
        <w:rPr>
          <w:szCs w:val="22"/>
        </w:rPr>
        <w:t>,</w:t>
      </w:r>
      <w:r w:rsidR="002560EC" w:rsidRPr="00A26AF9">
        <w:rPr>
          <w:szCs w:val="22"/>
        </w:rPr>
        <w:t xml:space="preserve">X </w:t>
      </w:r>
      <w:r w:rsidR="009B0157" w:rsidRPr="00A26AF9">
        <w:rPr>
          <w:szCs w:val="22"/>
        </w:rPr>
        <w:t xml:space="preserve">%  </w:t>
      </w:r>
      <w:r w:rsidR="009B0157" w:rsidRPr="00A26AF9">
        <w:sym w:font="Symbol" w:char="F0DE"/>
      </w:r>
      <w:r w:rsidR="009B0157" w:rsidRPr="00A26AF9">
        <w:rPr>
          <w:i/>
          <w:szCs w:val="22"/>
        </w:rPr>
        <w:sym w:font="Symbol" w:char="F068"/>
      </w:r>
      <w:r w:rsidR="009B0157" w:rsidRPr="00A26AF9">
        <w:rPr>
          <w:i/>
          <w:szCs w:val="22"/>
          <w:vertAlign w:val="subscript"/>
        </w:rPr>
        <w:t>KGJ</w:t>
      </w:r>
      <w:r w:rsidR="009B0157" w:rsidRPr="00A26AF9">
        <w:rPr>
          <w:i/>
          <w:szCs w:val="22"/>
        </w:rPr>
        <w:t xml:space="preserve"> = 0,</w:t>
      </w:r>
      <w:r w:rsidR="002560EC" w:rsidRPr="00A26AF9">
        <w:rPr>
          <w:i/>
          <w:szCs w:val="22"/>
        </w:rPr>
        <w:t xml:space="preserve">XXX </w:t>
      </w:r>
    </w:p>
    <w:p w:rsidR="004D390B" w:rsidRPr="00A26AF9" w:rsidRDefault="00DA68A3" w:rsidP="00DA68A3">
      <w:pPr>
        <w:pStyle w:val="Zkladntextodsazen"/>
        <w:spacing w:before="120"/>
        <w:ind w:left="1412" w:hanging="1412"/>
        <w:rPr>
          <w:rFonts w:eastAsia="Calibri"/>
        </w:rPr>
      </w:pPr>
      <m:oMath>
        <m:sSub>
          <m:sSubPr>
            <m:ctrlPr>
              <w:rPr>
                <w:rFonts w:ascii="Cambria Math" w:eastAsia="Calibri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</w:rPr>
              <m:t>1</m:t>
            </m:r>
          </m:sub>
        </m:sSub>
      </m:oMath>
      <w:r w:rsidR="009B0157" w:rsidRPr="00A26AF9">
        <w:rPr>
          <w:rFonts w:ascii="Calibri" w:eastAsia="Calibri" w:hAnsi="Calibri"/>
          <w:b/>
          <w:sz w:val="28"/>
          <w:szCs w:val="28"/>
        </w:rPr>
        <w:tab/>
      </w:r>
      <w:r w:rsidR="009B0157" w:rsidRPr="00A26AF9">
        <w:rPr>
          <w:rFonts w:ascii="Calibri" w:eastAsia="Calibri" w:hAnsi="Calibri"/>
          <w:b/>
          <w:sz w:val="28"/>
          <w:szCs w:val="28"/>
        </w:rPr>
        <w:tab/>
      </w:r>
      <w:r w:rsidR="009B0157" w:rsidRPr="00A26AF9">
        <w:rPr>
          <w:rFonts w:eastAsia="Calibri"/>
        </w:rPr>
        <w:t>koeficient vyjadřující výhřevnost 1 Nm</w:t>
      </w:r>
      <w:r w:rsidR="009B0157" w:rsidRPr="00A26AF9">
        <w:rPr>
          <w:rFonts w:eastAsia="Calibri"/>
          <w:vertAlign w:val="superscript"/>
        </w:rPr>
        <w:t>3</w:t>
      </w:r>
      <w:r w:rsidR="009B0157" w:rsidRPr="00A26AF9">
        <w:rPr>
          <w:rFonts w:eastAsia="Calibri"/>
        </w:rPr>
        <w:t xml:space="preserve"> zemního plynu v GJ; </w:t>
      </w:r>
      <w:r w:rsidR="004D390B" w:rsidRPr="00A26AF9">
        <w:rPr>
          <w:rFonts w:eastAsia="Calibri"/>
        </w:rPr>
        <w:t>Výhřevnost bude stanovena podle hodnoty spalného tepla uvedeného v aktuální faktuře za ZP</w:t>
      </w:r>
    </w:p>
    <w:p w:rsidR="009B0157" w:rsidRPr="00A34A82" w:rsidRDefault="004D390B" w:rsidP="00DA68A3">
      <w:pPr>
        <w:pStyle w:val="Zkladntextodsazen"/>
        <w:ind w:left="1410" w:firstLine="8"/>
        <w:rPr>
          <w:rFonts w:eastAsia="Calibri"/>
        </w:rPr>
      </w:pPr>
      <w:r w:rsidRPr="00A26AF9">
        <w:rPr>
          <w:rFonts w:eastAsia="Calibri"/>
        </w:rPr>
        <w:t xml:space="preserve">Příklad stanovení výhřevnosti ZP v GJ ze spalného tepla, který je uváděn na faktuře za ZP: </w:t>
      </w:r>
      <w:r w:rsidR="009B0157" w:rsidRPr="00A26AF9">
        <w:rPr>
          <w:rFonts w:eastAsia="Calibri"/>
        </w:rPr>
        <w:t>1 Nm</w:t>
      </w:r>
      <w:r w:rsidR="009B0157" w:rsidRPr="00A26AF9">
        <w:rPr>
          <w:rFonts w:eastAsia="Calibri"/>
          <w:vertAlign w:val="superscript"/>
        </w:rPr>
        <w:t>3</w:t>
      </w:r>
      <w:r w:rsidR="009B0157" w:rsidRPr="00A26AF9">
        <w:rPr>
          <w:rFonts w:eastAsia="Calibri"/>
        </w:rPr>
        <w:t xml:space="preserve"> zemního plynu = 10,7 kWh spalného tepla </w:t>
      </w:r>
      <w:r w:rsidR="009B0157" w:rsidRPr="00A26AF9">
        <w:sym w:font="Symbol" w:char="F0DE"/>
      </w:r>
      <w:r w:rsidR="009B0157" w:rsidRPr="00A26AF9">
        <w:t xml:space="preserve"> </w:t>
      </w:r>
      <w:r w:rsidR="009B0157" w:rsidRPr="00A26AF9">
        <w:rPr>
          <w:i/>
        </w:rPr>
        <w:t>K</w:t>
      </w:r>
      <w:r w:rsidR="009B0157" w:rsidRPr="00A26AF9">
        <w:rPr>
          <w:rFonts w:eastAsia="Calibri"/>
          <w:vertAlign w:val="subscript"/>
        </w:rPr>
        <w:t>1</w:t>
      </w:r>
      <w:r w:rsidR="009B0157" w:rsidRPr="00A26AF9">
        <w:rPr>
          <w:rFonts w:eastAsia="Calibri"/>
        </w:rPr>
        <w:t xml:space="preserve"> = 0,0347 </w:t>
      </w:r>
      <w:r w:rsidR="009B0157" w:rsidRPr="00A26AF9">
        <w:rPr>
          <w:i/>
        </w:rPr>
        <w:t>GJ/Nm</w:t>
      </w:r>
      <w:r w:rsidR="009B0157" w:rsidRPr="00A26AF9">
        <w:rPr>
          <w:i/>
          <w:vertAlign w:val="superscript"/>
        </w:rPr>
        <w:t>3</w:t>
      </w:r>
    </w:p>
    <w:p w:rsidR="009B0157" w:rsidRDefault="009B0157" w:rsidP="009B0157">
      <w:pPr>
        <w:pStyle w:val="Zkladntextodsazen"/>
        <w:tabs>
          <w:tab w:val="left" w:pos="8245"/>
        </w:tabs>
        <w:ind w:firstLine="0"/>
        <w:jc w:val="left"/>
        <w:rPr>
          <w:rFonts w:ascii="Calibri" w:eastAsia="Calibri" w:hAnsi="Calibri"/>
          <w:szCs w:val="22"/>
          <w:lang w:eastAsia="en-US"/>
        </w:rPr>
      </w:pPr>
    </w:p>
    <w:p w:rsidR="009B0157" w:rsidRDefault="009B0157" w:rsidP="009B0157">
      <w:pPr>
        <w:pStyle w:val="Zkladntextodsazen"/>
        <w:tabs>
          <w:tab w:val="left" w:pos="8245"/>
        </w:tabs>
        <w:ind w:firstLine="0"/>
        <w:jc w:val="left"/>
        <w:rPr>
          <w:rFonts w:ascii="Calibri" w:eastAsia="Calibri" w:hAnsi="Calibri"/>
          <w:szCs w:val="22"/>
          <w:lang w:eastAsia="en-US"/>
        </w:rPr>
      </w:pPr>
    </w:p>
    <w:p w:rsidR="0052085F" w:rsidRDefault="0052085F"/>
    <w:sectPr w:rsidR="0052085F" w:rsidSect="00115A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DA" w:rsidRDefault="00E622DA" w:rsidP="009B0157">
      <w:pPr>
        <w:spacing w:line="240" w:lineRule="auto"/>
      </w:pPr>
      <w:r>
        <w:separator/>
      </w:r>
    </w:p>
  </w:endnote>
  <w:endnote w:type="continuationSeparator" w:id="0">
    <w:p w:rsidR="00E622DA" w:rsidRDefault="00E622DA" w:rsidP="009B0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lo">
    <w:altName w:val="Calibri"/>
    <w:charset w:val="EE"/>
    <w:family w:val="auto"/>
    <w:pitch w:val="variable"/>
    <w:sig w:usb0="800000AF" w:usb1="0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79E" w:rsidRDefault="006D2E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A68A3">
      <w:rPr>
        <w:noProof/>
      </w:rPr>
      <w:t>2</w:t>
    </w:r>
    <w:r>
      <w:rPr>
        <w:noProof/>
      </w:rPr>
      <w:fldChar w:fldCharType="end"/>
    </w:r>
  </w:p>
  <w:p w:rsidR="008A779E" w:rsidRDefault="00DA68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DA" w:rsidRDefault="00E622DA" w:rsidP="009B0157">
      <w:pPr>
        <w:spacing w:line="240" w:lineRule="auto"/>
      </w:pPr>
      <w:r>
        <w:separator/>
      </w:r>
    </w:p>
  </w:footnote>
  <w:footnote w:type="continuationSeparator" w:id="0">
    <w:p w:rsidR="00E622DA" w:rsidRDefault="00E622DA" w:rsidP="009B01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41D" w:rsidRPr="00F661E5" w:rsidRDefault="009B0157" w:rsidP="009B0157">
    <w:pPr>
      <w:pBdr>
        <w:bottom w:val="single" w:sz="4" w:space="1" w:color="auto"/>
      </w:pBdr>
      <w:jc w:val="center"/>
      <w:rPr>
        <w:rFonts w:cs="Calibri"/>
        <w:szCs w:val="22"/>
      </w:rPr>
    </w:pPr>
    <w:r>
      <w:rPr>
        <w:rFonts w:cs="Calibri"/>
        <w:szCs w:val="22"/>
      </w:rPr>
      <w:t>Smlouva o dodávce tepelné energie – Příloha č. 3</w:t>
    </w:r>
  </w:p>
  <w:p w:rsidR="000742D9" w:rsidRDefault="00DA68A3" w:rsidP="000742D9">
    <w:pPr>
      <w:pStyle w:val="Zhlav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331D3"/>
    <w:multiLevelType w:val="hybridMultilevel"/>
    <w:tmpl w:val="D96A44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61453"/>
    <w:multiLevelType w:val="hybridMultilevel"/>
    <w:tmpl w:val="ACB42140"/>
    <w:lvl w:ilvl="0" w:tplc="ECA4F30A">
      <w:start w:val="19"/>
      <w:numFmt w:val="bullet"/>
      <w:lvlText w:val="▪"/>
      <w:lvlJc w:val="left"/>
      <w:pPr>
        <w:ind w:left="720" w:hanging="360"/>
      </w:pPr>
      <w:rPr>
        <w:rFonts w:ascii="Calibri" w:eastAsiaTheme="minorHAnsi" w:hAnsi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57"/>
    <w:rsid w:val="00015F4C"/>
    <w:rsid w:val="00022E84"/>
    <w:rsid w:val="00083E0E"/>
    <w:rsid w:val="00084CAD"/>
    <w:rsid w:val="000B20F6"/>
    <w:rsid w:val="002560EC"/>
    <w:rsid w:val="002C19DD"/>
    <w:rsid w:val="0036571F"/>
    <w:rsid w:val="003B3C65"/>
    <w:rsid w:val="004213CF"/>
    <w:rsid w:val="004D2621"/>
    <w:rsid w:val="004D390B"/>
    <w:rsid w:val="0052085F"/>
    <w:rsid w:val="005D7FE2"/>
    <w:rsid w:val="005E2E8A"/>
    <w:rsid w:val="00625BDC"/>
    <w:rsid w:val="006A46CE"/>
    <w:rsid w:val="006C6461"/>
    <w:rsid w:val="006D2E02"/>
    <w:rsid w:val="007177A6"/>
    <w:rsid w:val="0074784F"/>
    <w:rsid w:val="007C0221"/>
    <w:rsid w:val="007C4104"/>
    <w:rsid w:val="008C0417"/>
    <w:rsid w:val="008C4556"/>
    <w:rsid w:val="00951B3F"/>
    <w:rsid w:val="009B0157"/>
    <w:rsid w:val="00A26AF9"/>
    <w:rsid w:val="00B27230"/>
    <w:rsid w:val="00B70DAB"/>
    <w:rsid w:val="00BA51ED"/>
    <w:rsid w:val="00CA1CB8"/>
    <w:rsid w:val="00D010E7"/>
    <w:rsid w:val="00DA68A3"/>
    <w:rsid w:val="00DB6E50"/>
    <w:rsid w:val="00E460C5"/>
    <w:rsid w:val="00E622DA"/>
    <w:rsid w:val="00F34E46"/>
    <w:rsid w:val="00F7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DC8F4-D767-48FE-A7B8-F63E8DEF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0157"/>
    <w:pPr>
      <w:spacing w:after="0" w:line="320" w:lineRule="exact"/>
    </w:pPr>
    <w:rPr>
      <w:rFonts w:ascii="Polo" w:eastAsia="Times New Roman" w:hAnsi="Polo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9B0157"/>
    <w:pPr>
      <w:ind w:firstLine="45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9B0157"/>
    <w:rPr>
      <w:rFonts w:ascii="Polo" w:eastAsia="Times New Roman" w:hAnsi="Polo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1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157"/>
    <w:rPr>
      <w:rFonts w:ascii="Polo" w:eastAsia="Times New Roman" w:hAnsi="Polo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1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157"/>
    <w:rPr>
      <w:rFonts w:ascii="Polo" w:eastAsia="Times New Roman" w:hAnsi="Polo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9B015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B01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15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213C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Zstupntext">
    <w:name w:val="Placeholder Text"/>
    <w:basedOn w:val="Standardnpsmoodstavce"/>
    <w:uiPriority w:val="99"/>
    <w:semiHidden/>
    <w:rsid w:val="00015F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Vrbka Boris</cp:lastModifiedBy>
  <cp:revision>2</cp:revision>
  <dcterms:created xsi:type="dcterms:W3CDTF">2018-04-19T04:20:00Z</dcterms:created>
  <dcterms:modified xsi:type="dcterms:W3CDTF">2020-09-30T08:14:00Z</dcterms:modified>
</cp:coreProperties>
</file>